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374" w14:textId="662677AE" w:rsidR="004B1AF2" w:rsidRDefault="00992D6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24CBEF" wp14:editId="617DEEC5">
            <wp:simplePos x="0" y="0"/>
            <wp:positionH relativeFrom="margin">
              <wp:posOffset>57150</wp:posOffset>
            </wp:positionH>
            <wp:positionV relativeFrom="paragraph">
              <wp:posOffset>-78105</wp:posOffset>
            </wp:positionV>
            <wp:extent cx="2636953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6" cy="11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E2F9" w14:textId="57DA20BB" w:rsidR="00992D62" w:rsidRDefault="00992D62"/>
    <w:p w14:paraId="74DD000A" w14:textId="5D577BCA" w:rsidR="00992D62" w:rsidRDefault="00992D62"/>
    <w:p w14:paraId="0034CD7A" w14:textId="04BB73AD" w:rsidR="00992D62" w:rsidRDefault="00992D62"/>
    <w:p w14:paraId="265169B9" w14:textId="1C51B70F" w:rsidR="00992D62" w:rsidRDefault="00992D62"/>
    <w:p w14:paraId="71811A66" w14:textId="4080BE77" w:rsidR="00992D62" w:rsidRPr="009636F1" w:rsidRDefault="00992D62">
      <w:pPr>
        <w:rPr>
          <w:rFonts w:ascii="Arial" w:hAnsi="Arial" w:cs="Arial"/>
        </w:rPr>
      </w:pPr>
      <w:r w:rsidRPr="009636F1">
        <w:rPr>
          <w:rFonts w:ascii="Arial" w:hAnsi="Arial" w:cs="Arial"/>
        </w:rPr>
        <w:t>Title:</w:t>
      </w:r>
      <w:r w:rsidRPr="009636F1">
        <w:rPr>
          <w:rFonts w:ascii="Arial" w:hAnsi="Arial" w:cs="Arial"/>
        </w:rPr>
        <w:tab/>
      </w:r>
      <w:r w:rsidRPr="009636F1">
        <w:rPr>
          <w:rFonts w:ascii="Arial" w:hAnsi="Arial" w:cs="Arial"/>
        </w:rPr>
        <w:tab/>
      </w:r>
      <w:r w:rsidRPr="009636F1">
        <w:rPr>
          <w:rFonts w:ascii="Arial" w:hAnsi="Arial" w:cs="Arial"/>
        </w:rPr>
        <w:tab/>
      </w:r>
      <w:r w:rsidR="002641F1" w:rsidRPr="009636F1">
        <w:rPr>
          <w:rFonts w:ascii="Arial" w:hAnsi="Arial" w:cs="Arial"/>
          <w:b/>
        </w:rPr>
        <w:t>EXPENDITURE GUIDELINES</w:t>
      </w:r>
    </w:p>
    <w:p w14:paraId="77DFCFA1" w14:textId="602D4980" w:rsidR="00992D62" w:rsidRPr="009636F1" w:rsidRDefault="00992D62" w:rsidP="00992D62">
      <w:pPr>
        <w:spacing w:line="240" w:lineRule="auto"/>
        <w:rPr>
          <w:rFonts w:ascii="Arial" w:hAnsi="Arial" w:cs="Arial"/>
        </w:rPr>
      </w:pPr>
    </w:p>
    <w:p w14:paraId="446990A3" w14:textId="48AEA08B" w:rsidR="00992D62" w:rsidRPr="009636F1" w:rsidRDefault="00992D62" w:rsidP="005D5B0C">
      <w:pPr>
        <w:spacing w:after="0" w:line="240" w:lineRule="auto"/>
        <w:rPr>
          <w:rFonts w:ascii="Arial" w:hAnsi="Arial" w:cs="Arial"/>
        </w:rPr>
      </w:pPr>
      <w:r w:rsidRPr="009636F1">
        <w:rPr>
          <w:rFonts w:ascii="Arial" w:hAnsi="Arial" w:cs="Arial"/>
        </w:rPr>
        <w:t>Adopted:</w:t>
      </w:r>
      <w:r w:rsidRPr="009636F1">
        <w:rPr>
          <w:rFonts w:ascii="Arial" w:hAnsi="Arial" w:cs="Arial"/>
        </w:rPr>
        <w:tab/>
      </w:r>
      <w:r w:rsidRPr="009636F1">
        <w:rPr>
          <w:rFonts w:ascii="Arial" w:hAnsi="Arial" w:cs="Arial"/>
        </w:rPr>
        <w:tab/>
      </w:r>
      <w:r w:rsidR="002641F1" w:rsidRPr="009636F1">
        <w:rPr>
          <w:rFonts w:ascii="Arial" w:hAnsi="Arial" w:cs="Arial"/>
        </w:rPr>
        <w:t>January 2015</w:t>
      </w:r>
    </w:p>
    <w:p w14:paraId="171A595C" w14:textId="54D54EE9" w:rsidR="00992D62" w:rsidRPr="009636F1" w:rsidRDefault="00992D62" w:rsidP="005D5B0C">
      <w:pPr>
        <w:spacing w:after="0" w:line="240" w:lineRule="auto"/>
        <w:rPr>
          <w:rFonts w:ascii="Arial" w:hAnsi="Arial" w:cs="Arial"/>
        </w:rPr>
      </w:pPr>
      <w:r w:rsidRPr="009636F1">
        <w:rPr>
          <w:rFonts w:ascii="Arial" w:hAnsi="Arial" w:cs="Arial"/>
        </w:rPr>
        <w:t>Reviewed:</w:t>
      </w:r>
      <w:r w:rsidRPr="009636F1">
        <w:rPr>
          <w:rFonts w:ascii="Arial" w:hAnsi="Arial" w:cs="Arial"/>
        </w:rPr>
        <w:tab/>
      </w:r>
      <w:r w:rsidRPr="009636F1">
        <w:rPr>
          <w:rFonts w:ascii="Arial" w:hAnsi="Arial" w:cs="Arial"/>
        </w:rPr>
        <w:tab/>
      </w:r>
      <w:r w:rsidR="002641F1" w:rsidRPr="009636F1">
        <w:rPr>
          <w:rFonts w:ascii="Arial" w:hAnsi="Arial" w:cs="Arial"/>
        </w:rPr>
        <w:t>June 2019</w:t>
      </w:r>
    </w:p>
    <w:p w14:paraId="1D0EFF57" w14:textId="1CAADD1C" w:rsidR="00992D62" w:rsidRPr="009636F1" w:rsidRDefault="00992D62" w:rsidP="005D5B0C">
      <w:pPr>
        <w:spacing w:after="0" w:line="240" w:lineRule="auto"/>
        <w:rPr>
          <w:rFonts w:ascii="Arial" w:hAnsi="Arial" w:cs="Arial"/>
        </w:rPr>
      </w:pPr>
      <w:r w:rsidRPr="009636F1">
        <w:rPr>
          <w:rFonts w:ascii="Arial" w:hAnsi="Arial" w:cs="Arial"/>
        </w:rPr>
        <w:t>Revised:</w:t>
      </w:r>
      <w:r w:rsidRPr="009636F1">
        <w:rPr>
          <w:rFonts w:ascii="Arial" w:hAnsi="Arial" w:cs="Arial"/>
        </w:rPr>
        <w:tab/>
      </w:r>
      <w:r w:rsidRPr="009636F1">
        <w:rPr>
          <w:rFonts w:ascii="Arial" w:hAnsi="Arial" w:cs="Arial"/>
        </w:rPr>
        <w:tab/>
      </w:r>
      <w:r w:rsidR="002641F1" w:rsidRPr="009636F1">
        <w:rPr>
          <w:rFonts w:ascii="Arial" w:hAnsi="Arial" w:cs="Arial"/>
        </w:rPr>
        <w:t xml:space="preserve">June 2017, </w:t>
      </w:r>
      <w:r w:rsidR="006109D4">
        <w:rPr>
          <w:rFonts w:ascii="Arial" w:hAnsi="Arial" w:cs="Arial"/>
        </w:rPr>
        <w:t>October 2023</w:t>
      </w:r>
    </w:p>
    <w:p w14:paraId="520F99F6" w14:textId="6F31EB45" w:rsidR="00992D62" w:rsidRPr="009636F1" w:rsidRDefault="00992D62" w:rsidP="005D5B0C">
      <w:pPr>
        <w:spacing w:after="0" w:line="240" w:lineRule="auto"/>
        <w:rPr>
          <w:rFonts w:ascii="Arial" w:hAnsi="Arial" w:cs="Arial"/>
        </w:rPr>
      </w:pPr>
      <w:r w:rsidRPr="009636F1">
        <w:rPr>
          <w:rFonts w:ascii="Arial" w:hAnsi="Arial" w:cs="Arial"/>
        </w:rPr>
        <w:t>Authority:</w:t>
      </w:r>
      <w:r w:rsidRPr="009636F1">
        <w:rPr>
          <w:rFonts w:ascii="Arial" w:hAnsi="Arial" w:cs="Arial"/>
        </w:rPr>
        <w:tab/>
      </w:r>
      <w:r w:rsidRPr="009636F1">
        <w:rPr>
          <w:rFonts w:ascii="Arial" w:hAnsi="Arial" w:cs="Arial"/>
        </w:rPr>
        <w:tab/>
      </w:r>
      <w:r w:rsidR="00765C1C" w:rsidRPr="009636F1">
        <w:rPr>
          <w:rFonts w:ascii="Arial" w:hAnsi="Arial" w:cs="Arial"/>
        </w:rPr>
        <w:t>Ontario Education Act Sec 1</w:t>
      </w:r>
      <w:r w:rsidR="002641F1" w:rsidRPr="009636F1">
        <w:rPr>
          <w:rFonts w:ascii="Arial" w:hAnsi="Arial" w:cs="Arial"/>
        </w:rPr>
        <w:t>71 (1)</w:t>
      </w:r>
      <w:r w:rsidR="00B13CCC" w:rsidRPr="009636F1">
        <w:rPr>
          <w:rFonts w:ascii="Arial" w:hAnsi="Arial" w:cs="Arial"/>
        </w:rPr>
        <w:t xml:space="preserve"> 17</w:t>
      </w:r>
      <w:r w:rsidR="002641F1" w:rsidRPr="009636F1">
        <w:rPr>
          <w:rFonts w:ascii="Arial" w:hAnsi="Arial" w:cs="Arial"/>
        </w:rPr>
        <w:t>: Powers of Boards</w:t>
      </w:r>
    </w:p>
    <w:p w14:paraId="52E11701" w14:textId="00F9803E" w:rsidR="002641F1" w:rsidRPr="009636F1" w:rsidRDefault="002641F1" w:rsidP="002641F1">
      <w:pPr>
        <w:spacing w:after="0" w:line="240" w:lineRule="auto"/>
        <w:ind w:left="1440" w:firstLine="720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2641F1">
        <w:rPr>
          <w:rFonts w:ascii="Arial" w:eastAsia="Times New Roman" w:hAnsi="Arial" w:cs="Arial"/>
          <w:kern w:val="0"/>
          <w:lang w:eastAsia="en-CA"/>
          <w14:ligatures w14:val="none"/>
        </w:rPr>
        <w:t>Broader Public Sector Expenses Directive</w:t>
      </w:r>
    </w:p>
    <w:p w14:paraId="3D901D95" w14:textId="77777777" w:rsidR="002641F1" w:rsidRPr="009636F1" w:rsidRDefault="002641F1" w:rsidP="002641F1">
      <w:pPr>
        <w:spacing w:after="0" w:line="240" w:lineRule="auto"/>
        <w:ind w:left="1440" w:firstLine="720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2641F1">
        <w:rPr>
          <w:rFonts w:ascii="Arial" w:eastAsia="Times New Roman" w:hAnsi="Arial" w:cs="Arial"/>
          <w:kern w:val="0"/>
          <w:lang w:eastAsia="en-CA"/>
          <w14:ligatures w14:val="none"/>
        </w:rPr>
        <w:t>Ministry Memo 2006: B 15-School Board Expenditure Guidelines</w:t>
      </w:r>
    </w:p>
    <w:p w14:paraId="14D640DF" w14:textId="4D011504" w:rsidR="002641F1" w:rsidRPr="002641F1" w:rsidRDefault="002641F1" w:rsidP="002641F1">
      <w:pPr>
        <w:spacing w:after="0" w:line="240" w:lineRule="auto"/>
        <w:ind w:left="1440" w:firstLine="720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2641F1">
        <w:rPr>
          <w:rFonts w:ascii="Arial" w:eastAsia="Times New Roman" w:hAnsi="Arial" w:cs="Arial"/>
          <w:kern w:val="0"/>
          <w:lang w:eastAsia="en-CA"/>
          <w14:ligatures w14:val="none"/>
        </w:rPr>
        <w:t>Broader Public Sector Accountability Act, 2010</w:t>
      </w:r>
    </w:p>
    <w:p w14:paraId="0312C3D0" w14:textId="7A836BE5" w:rsidR="00992D62" w:rsidRPr="009636F1" w:rsidRDefault="00992D62" w:rsidP="005D5B0C">
      <w:pPr>
        <w:spacing w:after="0" w:line="240" w:lineRule="auto"/>
        <w:rPr>
          <w:rFonts w:ascii="Arial" w:hAnsi="Arial" w:cs="Arial"/>
        </w:rPr>
      </w:pPr>
    </w:p>
    <w:p w14:paraId="6A07A5EE" w14:textId="49E92132" w:rsidR="00992D62" w:rsidRPr="00C815DF" w:rsidRDefault="00992D62" w:rsidP="005D5B0C">
      <w:pPr>
        <w:spacing w:after="0" w:line="240" w:lineRule="auto"/>
        <w:rPr>
          <w:rFonts w:ascii="Arial" w:hAnsi="Arial" w:cs="Arial"/>
        </w:rPr>
      </w:pPr>
      <w:r w:rsidRPr="009636F1">
        <w:rPr>
          <w:rFonts w:ascii="Arial" w:hAnsi="Arial" w:cs="Arial"/>
        </w:rPr>
        <w:t>Related:</w:t>
      </w:r>
      <w:r w:rsidRPr="009636F1">
        <w:rPr>
          <w:rFonts w:ascii="Arial" w:hAnsi="Arial" w:cs="Arial"/>
        </w:rPr>
        <w:tab/>
      </w:r>
      <w:r w:rsidRPr="009636F1">
        <w:rPr>
          <w:rFonts w:ascii="Arial" w:hAnsi="Arial" w:cs="Arial"/>
        </w:rPr>
        <w:tab/>
      </w:r>
      <w:r w:rsidR="00765C1C" w:rsidRPr="00C815DF">
        <w:rPr>
          <w:rFonts w:ascii="Arial" w:hAnsi="Arial" w:cs="Arial"/>
        </w:rPr>
        <w:t>P</w:t>
      </w:r>
      <w:r w:rsidR="002641F1" w:rsidRPr="00C815DF">
        <w:rPr>
          <w:rFonts w:ascii="Arial" w:hAnsi="Arial" w:cs="Arial"/>
        </w:rPr>
        <w:t>rocedure 2002A: Expenditure Guidelines</w:t>
      </w:r>
    </w:p>
    <w:p w14:paraId="3AF73864" w14:textId="775E8C12" w:rsidR="002641F1" w:rsidRPr="00C815DF" w:rsidRDefault="002641F1" w:rsidP="002641F1">
      <w:pPr>
        <w:spacing w:after="0" w:line="240" w:lineRule="auto"/>
        <w:ind w:left="1440" w:firstLine="720"/>
        <w:rPr>
          <w:rFonts w:ascii="Arial" w:hAnsi="Arial" w:cs="Arial"/>
        </w:rPr>
      </w:pPr>
      <w:r w:rsidRPr="00C815DF">
        <w:rPr>
          <w:rFonts w:ascii="Arial" w:hAnsi="Arial" w:cs="Arial"/>
        </w:rPr>
        <w:t>Procedure</w:t>
      </w:r>
      <w:r w:rsidR="00C815DF" w:rsidRPr="00C815DF">
        <w:rPr>
          <w:rFonts w:ascii="Arial" w:hAnsi="Arial" w:cs="Arial"/>
        </w:rPr>
        <w:t xml:space="preserve"> 2002B: Emergency Needs Expenditure</w:t>
      </w:r>
    </w:p>
    <w:p w14:paraId="102DC2A4" w14:textId="6A89304A" w:rsidR="002641F1" w:rsidRPr="00C815DF" w:rsidRDefault="002641F1" w:rsidP="002641F1">
      <w:pPr>
        <w:spacing w:after="0" w:line="240" w:lineRule="auto"/>
        <w:ind w:left="1440" w:firstLine="720"/>
        <w:rPr>
          <w:rFonts w:ascii="Arial" w:hAnsi="Arial" w:cs="Arial"/>
        </w:rPr>
      </w:pPr>
      <w:r w:rsidRPr="00C815DF">
        <w:rPr>
          <w:rFonts w:ascii="Arial" w:hAnsi="Arial" w:cs="Arial"/>
        </w:rPr>
        <w:t>P</w:t>
      </w:r>
      <w:r w:rsidR="00C815DF" w:rsidRPr="00C815DF">
        <w:rPr>
          <w:rFonts w:ascii="Arial" w:hAnsi="Arial" w:cs="Arial"/>
        </w:rPr>
        <w:t>olicy 2004: Procurement Cards</w:t>
      </w:r>
    </w:p>
    <w:p w14:paraId="427B5E85" w14:textId="52BF028A" w:rsidR="00C815DF" w:rsidRPr="009636F1" w:rsidRDefault="00C815DF" w:rsidP="002641F1">
      <w:pPr>
        <w:spacing w:after="0" w:line="240" w:lineRule="auto"/>
        <w:ind w:left="1440" w:firstLine="720"/>
        <w:rPr>
          <w:rFonts w:ascii="Arial" w:hAnsi="Arial" w:cs="Arial"/>
        </w:rPr>
      </w:pPr>
      <w:r w:rsidRPr="00C815DF">
        <w:rPr>
          <w:rFonts w:ascii="Arial" w:hAnsi="Arial" w:cs="Arial"/>
        </w:rPr>
        <w:t>Procedure 2004A: Procurement Cards</w:t>
      </w:r>
    </w:p>
    <w:p w14:paraId="7C8BDBAB" w14:textId="1C7721EA" w:rsidR="00992D62" w:rsidRPr="009636F1" w:rsidRDefault="00992D62">
      <w:pPr>
        <w:rPr>
          <w:rFonts w:ascii="Arial" w:hAnsi="Arial" w:cs="Arial"/>
        </w:rPr>
      </w:pPr>
    </w:p>
    <w:p w14:paraId="215CD784" w14:textId="0A77E0A7" w:rsidR="00992D62" w:rsidRPr="009636F1" w:rsidRDefault="00992D62">
      <w:pPr>
        <w:rPr>
          <w:rFonts w:ascii="Arial" w:hAnsi="Arial" w:cs="Arial"/>
        </w:rPr>
      </w:pPr>
    </w:p>
    <w:p w14:paraId="33F22F20" w14:textId="435825DF" w:rsidR="005D5B0C" w:rsidRPr="009636F1" w:rsidRDefault="005D5B0C">
      <w:pPr>
        <w:rPr>
          <w:rFonts w:ascii="Arial" w:hAnsi="Arial" w:cs="Arial"/>
          <w:b/>
          <w:bCs/>
        </w:rPr>
      </w:pPr>
      <w:r w:rsidRPr="009636F1">
        <w:rPr>
          <w:rFonts w:ascii="Arial" w:hAnsi="Arial" w:cs="Arial"/>
          <w:b/>
          <w:bCs/>
        </w:rPr>
        <w:t>POLICY</w:t>
      </w:r>
    </w:p>
    <w:p w14:paraId="286A0AA8" w14:textId="4C00F748" w:rsidR="002641F1" w:rsidRPr="001E7621" w:rsidRDefault="00F42A31" w:rsidP="001E7621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9636F1">
        <w:rPr>
          <w:rFonts w:ascii="Arial" w:hAnsi="Arial" w:cs="Arial"/>
        </w:rPr>
        <w:t>It is the policy of the Kidsability School Authority</w:t>
      </w:r>
      <w:r w:rsidR="00F1093D" w:rsidRPr="009636F1">
        <w:rPr>
          <w:rFonts w:ascii="Arial" w:hAnsi="Arial" w:cs="Arial"/>
        </w:rPr>
        <w:t xml:space="preserve"> </w:t>
      </w:r>
      <w:r w:rsidR="00C815DF">
        <w:rPr>
          <w:rFonts w:ascii="Arial" w:eastAsia="Arial" w:hAnsi="Arial" w:cs="Arial"/>
          <w:kern w:val="0"/>
          <w:lang w:eastAsia="en-CA"/>
          <w14:ligatures w14:val="none"/>
        </w:rPr>
        <w:t>that</w:t>
      </w:r>
      <w:r w:rsidR="00D148C0" w:rsidRPr="009636F1">
        <w:rPr>
          <w:rFonts w:ascii="Arial" w:eastAsia="Arial" w:hAnsi="Arial" w:cs="Arial"/>
          <w:kern w:val="0"/>
          <w:lang w:eastAsia="en-CA"/>
          <w14:ligatures w14:val="none"/>
        </w:rPr>
        <w:t xml:space="preserve"> employees and trustees</w:t>
      </w:r>
      <w:r w:rsidR="00C815DF">
        <w:rPr>
          <w:rFonts w:ascii="Arial" w:eastAsia="Arial" w:hAnsi="Arial" w:cs="Arial"/>
          <w:kern w:val="0"/>
          <w:lang w:eastAsia="en-CA"/>
          <w14:ligatures w14:val="none"/>
        </w:rPr>
        <w:t xml:space="preserve"> be paid or reimbursed</w:t>
      </w:r>
      <w:r w:rsidR="00D148C0" w:rsidRPr="009636F1">
        <w:rPr>
          <w:rFonts w:ascii="Arial" w:eastAsia="Arial" w:hAnsi="Arial" w:cs="Arial"/>
          <w:kern w:val="0"/>
          <w:lang w:eastAsia="en-CA"/>
          <w14:ligatures w14:val="none"/>
        </w:rPr>
        <w:t>, in a manner which is transparent and in keeping with widely accepted best practices</w:t>
      </w:r>
      <w:r w:rsidR="00F1093D" w:rsidRPr="009636F1">
        <w:rPr>
          <w:rFonts w:ascii="Arial" w:eastAsia="Arial" w:hAnsi="Arial" w:cs="Arial"/>
          <w:kern w:val="0"/>
          <w:lang w:eastAsia="en-CA"/>
          <w14:ligatures w14:val="none"/>
        </w:rPr>
        <w:t xml:space="preserve"> as well as the expectations of the Ontario government</w:t>
      </w:r>
      <w:r w:rsidR="00C815DF">
        <w:rPr>
          <w:rFonts w:ascii="Arial" w:eastAsia="Arial" w:hAnsi="Arial" w:cs="Arial"/>
          <w:kern w:val="0"/>
          <w:lang w:eastAsia="en-CA"/>
          <w14:ligatures w14:val="none"/>
        </w:rPr>
        <w:t>,</w:t>
      </w:r>
      <w:r w:rsidR="002641F1" w:rsidRPr="002641F1">
        <w:rPr>
          <w:rFonts w:ascii="Arial" w:eastAsia="Arial" w:hAnsi="Arial" w:cs="Arial"/>
          <w:kern w:val="0"/>
          <w:lang w:eastAsia="en-CA"/>
          <w14:ligatures w14:val="none"/>
        </w:rPr>
        <w:t xml:space="preserve"> for </w:t>
      </w:r>
      <w:r w:rsidR="00D148C0" w:rsidRPr="009636F1">
        <w:rPr>
          <w:rFonts w:ascii="Arial" w:eastAsia="Arial" w:hAnsi="Arial" w:cs="Arial"/>
          <w:kern w:val="0"/>
          <w:lang w:eastAsia="en-CA"/>
          <w14:ligatures w14:val="none"/>
        </w:rPr>
        <w:t xml:space="preserve">all reasonable </w:t>
      </w:r>
      <w:r w:rsidR="002641F1" w:rsidRPr="002641F1">
        <w:rPr>
          <w:rFonts w:ascii="Arial" w:eastAsia="Arial" w:hAnsi="Arial" w:cs="Arial"/>
          <w:kern w:val="0"/>
          <w:lang w:eastAsia="en-CA"/>
          <w14:ligatures w14:val="none"/>
        </w:rPr>
        <w:t>out-of-pocket expenses incurred while</w:t>
      </w:r>
      <w:r w:rsidR="002641F1" w:rsidRPr="009636F1">
        <w:rPr>
          <w:rFonts w:ascii="Arial" w:eastAsia="Times New Roman" w:hAnsi="Arial" w:cs="Arial"/>
          <w:kern w:val="0"/>
          <w:lang w:eastAsia="en-CA"/>
          <w14:ligatures w14:val="none"/>
        </w:rPr>
        <w:t xml:space="preserve"> performing duties on behalf of the Authority.</w:t>
      </w:r>
      <w:r w:rsidR="002641F1" w:rsidRPr="002641F1">
        <w:rPr>
          <w:rFonts w:ascii="Arial" w:eastAsia="Arial" w:hAnsi="Arial" w:cs="Arial"/>
          <w:kern w:val="0"/>
          <w:lang w:eastAsia="en-CA"/>
          <w14:ligatures w14:val="none"/>
        </w:rPr>
        <w:t xml:space="preserve">                              </w:t>
      </w:r>
    </w:p>
    <w:p w14:paraId="1F6B2054" w14:textId="738B9EE2" w:rsidR="00A63CB7" w:rsidRPr="009636F1" w:rsidRDefault="00A63CB7" w:rsidP="00C47561">
      <w:pPr>
        <w:rPr>
          <w:rFonts w:ascii="Arial" w:hAnsi="Arial" w:cs="Arial"/>
          <w:b/>
          <w:bCs/>
        </w:rPr>
      </w:pPr>
    </w:p>
    <w:p w14:paraId="7A24AA44" w14:textId="716BF9DC" w:rsidR="00A63CB7" w:rsidRPr="009636F1" w:rsidRDefault="00A63CB7" w:rsidP="00C47561">
      <w:pPr>
        <w:rPr>
          <w:rFonts w:ascii="Arial" w:hAnsi="Arial" w:cs="Arial"/>
          <w:b/>
          <w:bCs/>
        </w:rPr>
      </w:pPr>
      <w:r w:rsidRPr="009636F1">
        <w:rPr>
          <w:rFonts w:ascii="Arial" w:hAnsi="Arial" w:cs="Arial"/>
          <w:b/>
          <w:bCs/>
        </w:rPr>
        <w:t>GUIDING PRINCIPLES</w:t>
      </w:r>
    </w:p>
    <w:p w14:paraId="6D1DABDF" w14:textId="37723F15" w:rsidR="00A63CB7" w:rsidRPr="009636F1" w:rsidRDefault="00A63CB7" w:rsidP="00C815DF">
      <w:pPr>
        <w:pStyle w:val="ListParagraph"/>
        <w:rPr>
          <w:rFonts w:ascii="Arial" w:hAnsi="Arial" w:cs="Arial"/>
          <w:b/>
          <w:bCs/>
        </w:rPr>
      </w:pPr>
    </w:p>
    <w:p w14:paraId="20CC1260" w14:textId="65E06F66" w:rsidR="00A63CB7" w:rsidRPr="009636F1" w:rsidRDefault="00D148C0" w:rsidP="00A63CB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2641F1">
        <w:rPr>
          <w:rFonts w:ascii="Arial" w:eastAsia="Arial" w:hAnsi="Arial" w:cs="Arial"/>
          <w:kern w:val="0"/>
          <w:lang w:eastAsia="en-CA"/>
          <w14:ligatures w14:val="none"/>
        </w:rPr>
        <w:t xml:space="preserve">The </w:t>
      </w:r>
      <w:r w:rsidRPr="009636F1">
        <w:rPr>
          <w:rFonts w:ascii="Arial" w:eastAsia="Arial" w:hAnsi="Arial" w:cs="Arial"/>
          <w:kern w:val="0"/>
          <w:lang w:eastAsia="en-CA"/>
          <w14:ligatures w14:val="none"/>
        </w:rPr>
        <w:t xml:space="preserve">Authority </w:t>
      </w:r>
      <w:r w:rsidRPr="002641F1">
        <w:rPr>
          <w:rFonts w:ascii="Arial" w:eastAsia="Arial" w:hAnsi="Arial" w:cs="Arial"/>
          <w:kern w:val="0"/>
          <w:lang w:eastAsia="en-CA"/>
          <w14:ligatures w14:val="none"/>
        </w:rPr>
        <w:t xml:space="preserve">will reimburse employees for travel, meals, accommodation expenses, other business expenses and hospitality expenditures incurred in carrying out their responsibilities while representing the interest of students, the </w:t>
      </w:r>
      <w:r w:rsidRPr="009636F1">
        <w:rPr>
          <w:rFonts w:ascii="Arial" w:eastAsia="Arial" w:hAnsi="Arial" w:cs="Arial"/>
          <w:kern w:val="0"/>
          <w:lang w:eastAsia="en-CA"/>
          <w14:ligatures w14:val="none"/>
        </w:rPr>
        <w:t xml:space="preserve">school </w:t>
      </w:r>
      <w:r w:rsidRPr="002641F1">
        <w:rPr>
          <w:rFonts w:ascii="Arial" w:eastAsia="Arial" w:hAnsi="Arial" w:cs="Arial"/>
          <w:kern w:val="0"/>
          <w:lang w:eastAsia="en-CA"/>
          <w14:ligatures w14:val="none"/>
        </w:rPr>
        <w:t xml:space="preserve">community or the </w:t>
      </w:r>
      <w:r w:rsidRPr="009636F1">
        <w:rPr>
          <w:rFonts w:ascii="Arial" w:eastAsia="Arial" w:hAnsi="Arial" w:cs="Arial"/>
          <w:kern w:val="0"/>
          <w:lang w:eastAsia="en-CA"/>
          <w14:ligatures w14:val="none"/>
        </w:rPr>
        <w:t>Authority</w:t>
      </w:r>
      <w:r w:rsidRPr="002641F1">
        <w:rPr>
          <w:rFonts w:ascii="Arial" w:eastAsia="Arial" w:hAnsi="Arial" w:cs="Arial"/>
          <w:kern w:val="0"/>
          <w:lang w:eastAsia="en-CA"/>
          <w14:ligatures w14:val="none"/>
        </w:rPr>
        <w:t>.</w:t>
      </w:r>
      <w:r w:rsidR="008D3FC3" w:rsidRPr="009636F1">
        <w:rPr>
          <w:rFonts w:ascii="Arial" w:eastAsia="Arial" w:hAnsi="Arial" w:cs="Arial"/>
          <w:kern w:val="0"/>
          <w:lang w:eastAsia="en-CA"/>
          <w14:ligatures w14:val="none"/>
        </w:rPr>
        <w:t xml:space="preserve"> </w:t>
      </w:r>
    </w:p>
    <w:p w14:paraId="23836E02" w14:textId="34EADFB2" w:rsidR="008D3FC3" w:rsidRPr="009636F1" w:rsidRDefault="008D3FC3" w:rsidP="00C815DF">
      <w:pPr>
        <w:pStyle w:val="ListParagraph"/>
        <w:rPr>
          <w:rFonts w:ascii="Arial" w:hAnsi="Arial" w:cs="Arial"/>
          <w:b/>
          <w:bCs/>
        </w:rPr>
      </w:pPr>
    </w:p>
    <w:p w14:paraId="5B30433D" w14:textId="31DC5677" w:rsidR="00CA5976" w:rsidRPr="009636F1" w:rsidRDefault="00CA5976" w:rsidP="00CA597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Any expenses submitted for reimbursement must be fair and equitable, reasonable, appropriate, able to stand up to public scrutiny and properly explained and documented.</w:t>
      </w:r>
    </w:p>
    <w:p w14:paraId="3E10EF1A" w14:textId="6590506D" w:rsidR="008D3FC3" w:rsidRPr="009636F1" w:rsidRDefault="008D3FC3" w:rsidP="00C815DF">
      <w:pPr>
        <w:pStyle w:val="ListParagraph"/>
        <w:rPr>
          <w:rFonts w:ascii="Arial" w:hAnsi="Arial" w:cs="Arial"/>
          <w:b/>
          <w:bCs/>
        </w:rPr>
      </w:pPr>
    </w:p>
    <w:p w14:paraId="4C4A09AF" w14:textId="47D3CB18" w:rsidR="00CA5976" w:rsidRPr="009636F1" w:rsidRDefault="00CA5976" w:rsidP="00CA597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636F1">
        <w:rPr>
          <w:rFonts w:ascii="Arial" w:eastAsia="Arial" w:hAnsi="Arial" w:cs="Arial"/>
          <w:kern w:val="0"/>
          <w:lang w:val="en-US"/>
          <w14:ligatures w14:val="none"/>
        </w:rPr>
        <w:t>The</w:t>
      </w:r>
      <w:r w:rsidRPr="009636F1">
        <w:rPr>
          <w:rFonts w:ascii="Arial" w:eastAsia="Arial" w:hAnsi="Arial" w:cs="Arial"/>
          <w:spacing w:val="29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KidsAbility School Authority</w:t>
      </w:r>
      <w:r w:rsidRPr="009636F1">
        <w:rPr>
          <w:rFonts w:ascii="Arial" w:eastAsia="Arial" w:hAnsi="Arial" w:cs="Arial"/>
          <w:spacing w:val="32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kern w:val="0"/>
          <w:lang w:val="en-US"/>
          <w14:ligatures w14:val="none"/>
        </w:rPr>
        <w:t>will</w:t>
      </w:r>
      <w:r w:rsidRPr="009636F1">
        <w:rPr>
          <w:rFonts w:ascii="Arial" w:eastAsia="Arial" w:hAnsi="Arial" w:cs="Arial"/>
          <w:spacing w:val="30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1"/>
          <w:kern w:val="0"/>
          <w:lang w:val="en-US"/>
          <w14:ligatures w14:val="none"/>
        </w:rPr>
        <w:t>pay</w:t>
      </w:r>
      <w:r w:rsidRPr="009636F1">
        <w:rPr>
          <w:rFonts w:ascii="Arial" w:eastAsia="Arial" w:hAnsi="Arial" w:cs="Arial"/>
          <w:spacing w:val="28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or</w:t>
      </w:r>
      <w:r w:rsidRPr="009636F1">
        <w:rPr>
          <w:rFonts w:ascii="Arial" w:eastAsia="Arial" w:hAnsi="Arial" w:cs="Arial"/>
          <w:spacing w:val="31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kern w:val="0"/>
          <w:lang w:val="en-US"/>
          <w14:ligatures w14:val="none"/>
        </w:rPr>
        <w:t>reimburse</w:t>
      </w:r>
      <w:r w:rsidRPr="009636F1">
        <w:rPr>
          <w:rFonts w:ascii="Arial" w:eastAsia="Arial" w:hAnsi="Arial" w:cs="Arial"/>
          <w:spacing w:val="29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trustees</w:t>
      </w:r>
      <w:r w:rsidRPr="009636F1">
        <w:rPr>
          <w:rFonts w:ascii="Arial" w:eastAsia="Arial" w:hAnsi="Arial" w:cs="Arial"/>
          <w:spacing w:val="31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and</w:t>
      </w:r>
      <w:r w:rsidRPr="009636F1">
        <w:rPr>
          <w:rFonts w:ascii="Arial" w:eastAsia="Arial" w:hAnsi="Arial" w:cs="Arial"/>
          <w:spacing w:val="30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kern w:val="0"/>
          <w:lang w:val="en-US"/>
          <w14:ligatures w14:val="none"/>
        </w:rPr>
        <w:t>employees</w:t>
      </w:r>
      <w:r w:rsidRPr="009636F1">
        <w:rPr>
          <w:rFonts w:ascii="Arial" w:eastAsia="Arial" w:hAnsi="Arial" w:cs="Arial"/>
          <w:spacing w:val="31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kern w:val="0"/>
          <w:lang w:val="en-US"/>
          <w14:ligatures w14:val="none"/>
        </w:rPr>
        <w:t>for</w:t>
      </w:r>
      <w:r w:rsidRPr="009636F1">
        <w:rPr>
          <w:rFonts w:ascii="Arial" w:eastAsia="Arial" w:hAnsi="Arial" w:cs="Arial"/>
          <w:spacing w:val="31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legitimate</w:t>
      </w:r>
      <w:r w:rsidRPr="009636F1">
        <w:rPr>
          <w:rFonts w:ascii="Arial" w:eastAsia="Arial" w:hAnsi="Arial" w:cs="Arial"/>
          <w:spacing w:val="29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kern w:val="0"/>
          <w:lang w:val="en-US"/>
          <w14:ligatures w14:val="none"/>
        </w:rPr>
        <w:t>expenses</w:t>
      </w:r>
      <w:r w:rsidRPr="009636F1">
        <w:rPr>
          <w:rFonts w:ascii="Arial" w:eastAsia="Arial" w:hAnsi="Arial" w:cs="Arial"/>
          <w:spacing w:val="31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incurred</w:t>
      </w:r>
      <w:r w:rsidRPr="009636F1">
        <w:rPr>
          <w:rFonts w:ascii="Arial" w:eastAsia="Arial" w:hAnsi="Arial" w:cs="Arial"/>
          <w:spacing w:val="30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kern w:val="0"/>
          <w:lang w:val="en-US"/>
          <w14:ligatures w14:val="none"/>
        </w:rPr>
        <w:t>in</w:t>
      </w:r>
      <w:r w:rsidRPr="009636F1">
        <w:rPr>
          <w:rFonts w:ascii="Arial" w:eastAsia="Arial" w:hAnsi="Arial" w:cs="Arial"/>
          <w:spacing w:val="59"/>
          <w:w w:val="99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carrying</w:t>
      </w:r>
      <w:r w:rsidRPr="009636F1">
        <w:rPr>
          <w:rFonts w:ascii="Arial" w:eastAsia="Arial" w:hAnsi="Arial" w:cs="Arial"/>
          <w:spacing w:val="35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out</w:t>
      </w:r>
      <w:r w:rsidRPr="009636F1">
        <w:rPr>
          <w:rFonts w:ascii="Arial" w:eastAsia="Arial" w:hAnsi="Arial" w:cs="Arial"/>
          <w:spacing w:val="33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their</w:t>
      </w:r>
      <w:r w:rsidRPr="009636F1">
        <w:rPr>
          <w:rFonts w:ascii="Arial" w:eastAsia="Arial" w:hAnsi="Arial" w:cs="Arial"/>
          <w:spacing w:val="35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kern w:val="0"/>
          <w:lang w:val="en-US"/>
          <w14:ligatures w14:val="none"/>
        </w:rPr>
        <w:t>responsibilities</w:t>
      </w:r>
      <w:r w:rsidRPr="009636F1">
        <w:rPr>
          <w:rFonts w:ascii="Arial" w:eastAsia="Arial" w:hAnsi="Arial" w:cs="Arial"/>
          <w:spacing w:val="37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while</w:t>
      </w:r>
      <w:r w:rsidRPr="009636F1">
        <w:rPr>
          <w:rFonts w:ascii="Arial" w:eastAsia="Arial" w:hAnsi="Arial" w:cs="Arial"/>
          <w:spacing w:val="34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kern w:val="0"/>
          <w:lang w:val="en-US"/>
          <w14:ligatures w14:val="none"/>
        </w:rPr>
        <w:t>representing</w:t>
      </w:r>
      <w:r w:rsidRPr="009636F1">
        <w:rPr>
          <w:rFonts w:ascii="Arial" w:eastAsia="Arial" w:hAnsi="Arial" w:cs="Arial"/>
          <w:spacing w:val="33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the</w:t>
      </w:r>
      <w:r w:rsidRPr="009636F1">
        <w:rPr>
          <w:rFonts w:ascii="Arial" w:eastAsia="Arial" w:hAnsi="Arial" w:cs="Arial"/>
          <w:spacing w:val="34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interests</w:t>
      </w:r>
      <w:r w:rsidRPr="009636F1">
        <w:rPr>
          <w:rFonts w:ascii="Arial" w:eastAsia="Arial" w:hAnsi="Arial" w:cs="Arial"/>
          <w:spacing w:val="35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of</w:t>
      </w:r>
      <w:r w:rsidRPr="009636F1">
        <w:rPr>
          <w:rFonts w:ascii="Arial" w:eastAsia="Arial" w:hAnsi="Arial" w:cs="Arial"/>
          <w:spacing w:val="36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students,</w:t>
      </w:r>
      <w:r w:rsidRPr="009636F1">
        <w:rPr>
          <w:rFonts w:ascii="Arial" w:eastAsia="Arial" w:hAnsi="Arial" w:cs="Arial"/>
          <w:spacing w:val="34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kern w:val="0"/>
          <w:lang w:val="en-US"/>
          <w14:ligatures w14:val="none"/>
        </w:rPr>
        <w:t>the</w:t>
      </w:r>
      <w:r w:rsidR="00C815DF">
        <w:rPr>
          <w:rFonts w:ascii="Arial" w:eastAsia="Arial" w:hAnsi="Arial" w:cs="Arial"/>
          <w:kern w:val="0"/>
          <w:lang w:val="en-US"/>
          <w14:ligatures w14:val="none"/>
        </w:rPr>
        <w:t xml:space="preserve"> school</w:t>
      </w:r>
      <w:r w:rsidRPr="009636F1">
        <w:rPr>
          <w:rFonts w:ascii="Arial" w:eastAsia="Arial" w:hAnsi="Arial" w:cs="Arial"/>
          <w:spacing w:val="33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kern w:val="0"/>
          <w:lang w:val="en-US"/>
          <w14:ligatures w14:val="none"/>
        </w:rPr>
        <w:t>community</w:t>
      </w:r>
      <w:r w:rsidRPr="009636F1">
        <w:rPr>
          <w:rFonts w:ascii="Arial" w:eastAsia="Arial" w:hAnsi="Arial" w:cs="Arial"/>
          <w:spacing w:val="69"/>
          <w:w w:val="99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and/or</w:t>
      </w:r>
      <w:r w:rsidRPr="009636F1">
        <w:rPr>
          <w:rFonts w:ascii="Arial" w:eastAsia="Arial" w:hAnsi="Arial" w:cs="Arial"/>
          <w:spacing w:val="-8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the</w:t>
      </w:r>
      <w:r w:rsidRPr="009636F1">
        <w:rPr>
          <w:rFonts w:ascii="Arial" w:eastAsia="Arial" w:hAnsi="Arial" w:cs="Arial"/>
          <w:spacing w:val="-6"/>
          <w:kern w:val="0"/>
          <w:lang w:val="en-US"/>
          <w14:ligatures w14:val="none"/>
        </w:rPr>
        <w:t xml:space="preserve"> </w:t>
      </w:r>
      <w:r w:rsidRPr="009636F1">
        <w:rPr>
          <w:rFonts w:ascii="Arial" w:eastAsia="Arial" w:hAnsi="Arial" w:cs="Arial"/>
          <w:spacing w:val="-1"/>
          <w:kern w:val="0"/>
          <w:lang w:val="en-US"/>
          <w14:ligatures w14:val="none"/>
        </w:rPr>
        <w:t>KidsAbility School Authority.</w:t>
      </w:r>
    </w:p>
    <w:p w14:paraId="10D962B3" w14:textId="4F6249E0" w:rsidR="008D3FC3" w:rsidRPr="009636F1" w:rsidRDefault="008D3FC3" w:rsidP="00C815DF">
      <w:pPr>
        <w:pStyle w:val="ListParagraph"/>
        <w:rPr>
          <w:rFonts w:ascii="Arial" w:hAnsi="Arial" w:cs="Arial"/>
          <w:b/>
          <w:bCs/>
        </w:rPr>
      </w:pPr>
    </w:p>
    <w:p w14:paraId="76D62C22" w14:textId="23233B60" w:rsidR="00D148C0" w:rsidRPr="00C815DF" w:rsidRDefault="00D148C0" w:rsidP="00C815DF">
      <w:pPr>
        <w:rPr>
          <w:rFonts w:ascii="Arial" w:hAnsi="Arial" w:cs="Arial"/>
          <w:b/>
          <w:bCs/>
        </w:rPr>
      </w:pPr>
    </w:p>
    <w:p w14:paraId="0290FF67" w14:textId="24C95152" w:rsidR="00D148C0" w:rsidRPr="009636F1" w:rsidRDefault="00D148C0" w:rsidP="00D148C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636F1">
        <w:rPr>
          <w:rFonts w:ascii="Arial" w:eastAsia="Arial" w:hAnsi="Arial" w:cs="Arial"/>
          <w:kern w:val="0"/>
          <w:lang w:eastAsia="en-CA"/>
          <w14:ligatures w14:val="none"/>
        </w:rPr>
        <w:lastRenderedPageBreak/>
        <w:t xml:space="preserve">All expenses to be reimbursed must be reasonable, relevant and transparent to the business activity of the Authority, with appropriate accountability and relate to the goals and objectives of the </w:t>
      </w:r>
      <w:r w:rsidR="009C3998">
        <w:rPr>
          <w:rFonts w:ascii="Arial" w:eastAsia="Arial" w:hAnsi="Arial" w:cs="Arial"/>
          <w:kern w:val="0"/>
          <w:lang w:eastAsia="en-CA"/>
          <w14:ligatures w14:val="none"/>
        </w:rPr>
        <w:t>Authority</w:t>
      </w:r>
      <w:r w:rsidRPr="009636F1">
        <w:rPr>
          <w:rFonts w:ascii="Arial" w:eastAsia="Arial" w:hAnsi="Arial" w:cs="Arial"/>
          <w:kern w:val="0"/>
          <w:lang w:eastAsia="en-CA"/>
          <w14:ligatures w14:val="none"/>
        </w:rPr>
        <w:t>’s strategic plan.</w:t>
      </w:r>
    </w:p>
    <w:p w14:paraId="720B5CB1" w14:textId="38EFE65E" w:rsidR="00D148C0" w:rsidRPr="009636F1" w:rsidRDefault="00D148C0" w:rsidP="00C815DF">
      <w:pPr>
        <w:pStyle w:val="ListParagraph"/>
        <w:rPr>
          <w:rFonts w:ascii="Arial" w:hAnsi="Arial" w:cs="Arial"/>
          <w:b/>
          <w:bCs/>
        </w:rPr>
      </w:pPr>
      <w:r w:rsidRPr="009636F1">
        <w:rPr>
          <w:rFonts w:ascii="Arial" w:eastAsia="Arial" w:hAnsi="Arial" w:cs="Arial"/>
          <w:kern w:val="0"/>
          <w:lang w:eastAsia="en-CA"/>
          <w14:ligatures w14:val="none"/>
        </w:rPr>
        <w:t xml:space="preserve"> </w:t>
      </w:r>
    </w:p>
    <w:p w14:paraId="6FFC717B" w14:textId="74C3CB96" w:rsidR="00D148C0" w:rsidRPr="009636F1" w:rsidRDefault="00D148C0" w:rsidP="00D148C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636F1">
        <w:rPr>
          <w:rFonts w:ascii="Arial" w:eastAsia="Arial" w:hAnsi="Arial" w:cs="Arial"/>
          <w:kern w:val="0"/>
          <w:lang w:eastAsia="en-CA"/>
          <w14:ligatures w14:val="none"/>
        </w:rPr>
        <w:t>For an expense to be paid or reimbursed it must have the appropriate authorizations and approvals as set out in the KidsAbility School Authority’s procedures for expenditures.</w:t>
      </w:r>
    </w:p>
    <w:p w14:paraId="23E28492" w14:textId="77777777" w:rsidR="00D148C0" w:rsidRPr="009636F1" w:rsidRDefault="00D148C0" w:rsidP="00C815DF">
      <w:pPr>
        <w:pStyle w:val="ListParagraph"/>
        <w:rPr>
          <w:rFonts w:ascii="Arial" w:hAnsi="Arial" w:cs="Arial"/>
          <w:b/>
          <w:bCs/>
        </w:rPr>
      </w:pPr>
    </w:p>
    <w:p w14:paraId="4BC1D533" w14:textId="7B34A174" w:rsidR="00D148C0" w:rsidRPr="00C815DF" w:rsidRDefault="00D148C0" w:rsidP="00C815D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636F1">
        <w:rPr>
          <w:rFonts w:ascii="Arial" w:eastAsia="Arial" w:hAnsi="Arial" w:cs="Arial"/>
          <w:kern w:val="0"/>
          <w:lang w:eastAsia="en-CA"/>
          <w14:ligatures w14:val="none"/>
        </w:rPr>
        <w:t>The Authority assumes no obligation to reimburse expenses that do not comply with this policy.</w:t>
      </w:r>
      <w:r w:rsidRPr="00C815DF">
        <w:rPr>
          <w:rFonts w:ascii="Arial" w:hAnsi="Arial" w:cs="Arial"/>
          <w:b/>
          <w:bCs/>
        </w:rPr>
        <w:t xml:space="preserve"> </w:t>
      </w:r>
    </w:p>
    <w:p w14:paraId="6E29B699" w14:textId="0C1566B8" w:rsidR="00D148C0" w:rsidRPr="009636F1" w:rsidRDefault="00D148C0" w:rsidP="00C47561">
      <w:pPr>
        <w:rPr>
          <w:rFonts w:ascii="Arial" w:hAnsi="Arial" w:cs="Arial"/>
          <w:b/>
          <w:bCs/>
        </w:rPr>
      </w:pPr>
    </w:p>
    <w:p w14:paraId="4A4F8043" w14:textId="50A727BE" w:rsidR="00A63CB7" w:rsidRPr="00C815DF" w:rsidRDefault="00C815DF" w:rsidP="00C815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DEFINITIONS</w:t>
      </w:r>
      <w:r w:rsidR="00A63CB7" w:rsidRPr="00C815DF">
        <w:rPr>
          <w:rFonts w:ascii="Arial" w:hAnsi="Arial" w:cs="Arial"/>
          <w:b/>
          <w:bCs/>
        </w:rPr>
        <w:t xml:space="preserve"> </w:t>
      </w:r>
    </w:p>
    <w:p w14:paraId="342E9CD5" w14:textId="1A90AFBD" w:rsidR="00C47561" w:rsidRPr="009636F1" w:rsidRDefault="00C47561" w:rsidP="00C47561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636F1">
        <w:rPr>
          <w:rFonts w:ascii="Arial" w:eastAsia="Times New Roman" w:hAnsi="Arial" w:cs="Arial"/>
          <w:b/>
          <w:iCs/>
          <w:kern w:val="0"/>
          <w:lang w:val="en-US" w:eastAsia="en-CA"/>
          <w14:ligatures w14:val="none"/>
        </w:rPr>
        <w:t>Authorization</w:t>
      </w:r>
      <w:r w:rsidRPr="009636F1">
        <w:rPr>
          <w:rFonts w:ascii="Arial" w:eastAsia="Times New Roman" w:hAnsi="Arial" w:cs="Arial"/>
          <w:bCs/>
          <w:iCs/>
          <w:kern w:val="0"/>
          <w:lang w:val="en-US" w:eastAsia="en-CA"/>
          <w14:ligatures w14:val="none"/>
        </w:rPr>
        <w:t>: The approval of an expense reimbursement by an appropriate person with adequate signing authority.</w:t>
      </w:r>
      <w:r w:rsidRPr="009636F1">
        <w:rPr>
          <w:rFonts w:ascii="Arial" w:eastAsia="Times New Roman" w:hAnsi="Arial" w:cs="Arial"/>
          <w:b/>
          <w:bCs/>
          <w:iCs/>
          <w:kern w:val="0"/>
          <w:lang w:val="en-US" w:eastAsia="en-CA"/>
          <w14:ligatures w14:val="none"/>
        </w:rPr>
        <w:t xml:space="preserve"> </w:t>
      </w:r>
    </w:p>
    <w:p w14:paraId="04BDFBF5" w14:textId="07779882" w:rsidR="00C47561" w:rsidRPr="009636F1" w:rsidRDefault="00C47561" w:rsidP="00C815DF">
      <w:pPr>
        <w:pStyle w:val="ListParagraph"/>
        <w:rPr>
          <w:rFonts w:ascii="Arial" w:hAnsi="Arial" w:cs="Arial"/>
          <w:b/>
          <w:bCs/>
        </w:rPr>
      </w:pPr>
      <w:r w:rsidRPr="009636F1">
        <w:rPr>
          <w:rFonts w:ascii="Arial" w:eastAsia="Times New Roman" w:hAnsi="Arial" w:cs="Arial"/>
          <w:b/>
          <w:bCs/>
          <w:iCs/>
          <w:kern w:val="0"/>
          <w:lang w:val="en-US" w:eastAsia="en-CA"/>
          <w14:ligatures w14:val="none"/>
        </w:rPr>
        <w:t xml:space="preserve"> </w:t>
      </w:r>
    </w:p>
    <w:p w14:paraId="2D0839CB" w14:textId="7647BBB4" w:rsidR="00C47561" w:rsidRPr="009636F1" w:rsidRDefault="00C47561" w:rsidP="00C47561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636F1">
        <w:rPr>
          <w:rFonts w:ascii="Arial" w:eastAsia="Times New Roman" w:hAnsi="Arial" w:cs="Arial"/>
          <w:b/>
          <w:iCs/>
          <w:kern w:val="0"/>
          <w:lang w:val="en-US" w:eastAsia="en-CA"/>
          <w14:ligatures w14:val="none"/>
        </w:rPr>
        <w:t>Receipts</w:t>
      </w:r>
      <w:r w:rsidRPr="009636F1">
        <w:rPr>
          <w:rFonts w:ascii="Arial" w:eastAsia="Times New Roman" w:hAnsi="Arial" w:cs="Arial"/>
          <w:bCs/>
          <w:iCs/>
          <w:kern w:val="0"/>
          <w:lang w:val="en-US" w:eastAsia="en-CA"/>
          <w14:ligatures w14:val="none"/>
        </w:rPr>
        <w:t>: Original documents that include details of the expenditure, the amount, taxes paid and the date. Credit card or debit receipts are NOT receipts.</w:t>
      </w:r>
      <w:r w:rsidRPr="009636F1">
        <w:rPr>
          <w:rFonts w:ascii="Arial" w:eastAsia="Times New Roman" w:hAnsi="Arial" w:cs="Arial"/>
          <w:kern w:val="0"/>
          <w:lang w:val="en-US" w:eastAsia="en-CA"/>
          <w14:ligatures w14:val="none"/>
        </w:rPr>
        <w:t xml:space="preserve"> </w:t>
      </w:r>
    </w:p>
    <w:p w14:paraId="12C0DE76" w14:textId="70CF3753" w:rsidR="00F42A31" w:rsidRDefault="00F42A31" w:rsidP="00C815DF">
      <w:pPr>
        <w:pStyle w:val="ListParagraph"/>
        <w:rPr>
          <w:rFonts w:ascii="Arial" w:hAnsi="Arial" w:cs="Arial"/>
          <w:b/>
          <w:bCs/>
        </w:rPr>
      </w:pPr>
    </w:p>
    <w:p w14:paraId="675EA41B" w14:textId="77777777" w:rsidR="00C815DF" w:rsidRPr="00C815DF" w:rsidRDefault="00C815DF" w:rsidP="00C815DF">
      <w:pPr>
        <w:pStyle w:val="ListParagraph"/>
        <w:rPr>
          <w:rFonts w:ascii="Arial" w:hAnsi="Arial" w:cs="Arial"/>
          <w:b/>
          <w:bCs/>
        </w:rPr>
      </w:pPr>
    </w:p>
    <w:p w14:paraId="1A5A8D79" w14:textId="6EBAB86E" w:rsidR="005D5B0C" w:rsidRDefault="00C47561">
      <w:pPr>
        <w:rPr>
          <w:rFonts w:ascii="Arial" w:hAnsi="Arial" w:cs="Arial"/>
          <w:b/>
          <w:bCs/>
        </w:rPr>
      </w:pPr>
      <w:r w:rsidRPr="009636F1">
        <w:rPr>
          <w:rFonts w:ascii="Arial" w:hAnsi="Arial" w:cs="Arial"/>
          <w:b/>
          <w:bCs/>
        </w:rPr>
        <w:t>RESOURCES</w:t>
      </w:r>
    </w:p>
    <w:p w14:paraId="5AF69572" w14:textId="77777777" w:rsidR="00C815DF" w:rsidRPr="009636F1" w:rsidRDefault="00C815DF">
      <w:pPr>
        <w:rPr>
          <w:rFonts w:ascii="Arial" w:hAnsi="Arial" w:cs="Arial"/>
          <w:b/>
          <w:bCs/>
        </w:rPr>
      </w:pPr>
    </w:p>
    <w:p w14:paraId="1F4C8A03" w14:textId="35E742DD" w:rsidR="00C47561" w:rsidRPr="009636F1" w:rsidRDefault="00000000">
      <w:pPr>
        <w:rPr>
          <w:rFonts w:ascii="Arial" w:hAnsi="Arial" w:cs="Arial"/>
          <w:b/>
          <w:bCs/>
        </w:rPr>
      </w:pPr>
      <w:hyperlink r:id="rId8" w:anchor="BK149" w:history="1">
        <w:r w:rsidR="00B13CCC" w:rsidRPr="009636F1">
          <w:rPr>
            <w:rStyle w:val="Hyperlink"/>
            <w:rFonts w:ascii="Arial" w:hAnsi="Arial" w:cs="Arial"/>
            <w:b/>
            <w:bCs/>
          </w:rPr>
          <w:t>Ontario Ed</w:t>
        </w:r>
        <w:r w:rsidR="00AF074E" w:rsidRPr="009636F1">
          <w:rPr>
            <w:rStyle w:val="Hyperlink"/>
            <w:rFonts w:ascii="Arial" w:hAnsi="Arial" w:cs="Arial"/>
            <w:b/>
            <w:bCs/>
          </w:rPr>
          <w:t>uc</w:t>
        </w:r>
        <w:r w:rsidR="00B13CCC" w:rsidRPr="009636F1">
          <w:rPr>
            <w:rStyle w:val="Hyperlink"/>
            <w:rFonts w:ascii="Arial" w:hAnsi="Arial" w:cs="Arial"/>
            <w:b/>
            <w:bCs/>
          </w:rPr>
          <w:t>ation Act Sec 171(1) 17</w:t>
        </w:r>
      </w:hyperlink>
    </w:p>
    <w:p w14:paraId="18C2143B" w14:textId="6C283558" w:rsidR="00AF074E" w:rsidRPr="009636F1" w:rsidRDefault="00000000">
      <w:pPr>
        <w:rPr>
          <w:rFonts w:ascii="Arial" w:hAnsi="Arial" w:cs="Arial"/>
          <w:b/>
          <w:bCs/>
        </w:rPr>
      </w:pPr>
      <w:hyperlink r:id="rId9" w:history="1">
        <w:r w:rsidR="00AF074E" w:rsidRPr="009636F1">
          <w:rPr>
            <w:rStyle w:val="Hyperlink"/>
            <w:rFonts w:ascii="Arial" w:hAnsi="Arial" w:cs="Arial"/>
            <w:b/>
            <w:bCs/>
          </w:rPr>
          <w:t>Broader Public Sector Expenses Directive</w:t>
        </w:r>
      </w:hyperlink>
    </w:p>
    <w:p w14:paraId="22AF53A6" w14:textId="1206483C" w:rsidR="00AF074E" w:rsidRPr="009636F1" w:rsidRDefault="00000000">
      <w:pPr>
        <w:rPr>
          <w:rFonts w:ascii="Arial" w:hAnsi="Arial" w:cs="Arial"/>
          <w:b/>
          <w:bCs/>
        </w:rPr>
      </w:pPr>
      <w:hyperlink r:id="rId10" w:history="1">
        <w:r w:rsidR="00AF074E" w:rsidRPr="009636F1">
          <w:rPr>
            <w:rStyle w:val="Hyperlink"/>
            <w:rFonts w:ascii="Arial" w:hAnsi="Arial" w:cs="Arial"/>
            <w:b/>
            <w:bCs/>
          </w:rPr>
          <w:t>School Board Expenses Guidelines</w:t>
        </w:r>
      </w:hyperlink>
    </w:p>
    <w:p w14:paraId="2E4F0D57" w14:textId="245CBCA8" w:rsidR="00AF074E" w:rsidRPr="009636F1" w:rsidRDefault="00000000">
      <w:pPr>
        <w:rPr>
          <w:rFonts w:ascii="Arial" w:hAnsi="Arial" w:cs="Arial"/>
          <w:b/>
          <w:bCs/>
        </w:rPr>
      </w:pPr>
      <w:hyperlink r:id="rId11" w:anchor=":~:text=The%20Broader%20Public%20Sector%20Accountability%20Act%2C%202010%20(%20BPSAA%20)%20was,and%20broader%20public%20sector%20organizations." w:history="1">
        <w:r w:rsidR="00AF074E" w:rsidRPr="009636F1">
          <w:rPr>
            <w:rStyle w:val="Hyperlink"/>
            <w:rFonts w:ascii="Arial" w:hAnsi="Arial" w:cs="Arial"/>
            <w:b/>
            <w:bCs/>
          </w:rPr>
          <w:t>Broader Public Sector Accountability Act</w:t>
        </w:r>
      </w:hyperlink>
    </w:p>
    <w:p w14:paraId="2D8B1305" w14:textId="77777777" w:rsidR="00AF074E" w:rsidRPr="005D5B0C" w:rsidRDefault="00AF074E">
      <w:pPr>
        <w:rPr>
          <w:rFonts w:ascii="Arial" w:hAnsi="Arial" w:cs="Arial"/>
          <w:b/>
          <w:bCs/>
          <w:sz w:val="24"/>
          <w:szCs w:val="24"/>
        </w:rPr>
      </w:pPr>
    </w:p>
    <w:sectPr w:rsidR="00AF074E" w:rsidRPr="005D5B0C" w:rsidSect="00992D62">
      <w:headerReference w:type="default" r:id="rId12"/>
      <w:footerReference w:type="default" r:id="rId13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9872" w14:textId="77777777" w:rsidR="00BB3993" w:rsidRDefault="00BB3993" w:rsidP="00992D62">
      <w:pPr>
        <w:spacing w:after="0" w:line="240" w:lineRule="auto"/>
      </w:pPr>
      <w:r>
        <w:separator/>
      </w:r>
    </w:p>
  </w:endnote>
  <w:endnote w:type="continuationSeparator" w:id="0">
    <w:p w14:paraId="1258BA39" w14:textId="77777777" w:rsidR="00BB3993" w:rsidRDefault="00BB3993" w:rsidP="0099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5C78" w14:textId="226A7180" w:rsidR="00992D62" w:rsidRDefault="00992D62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6109D4">
      <w:rPr>
        <w:noProof/>
      </w:rPr>
      <w:t>September 20, 2023</w:t>
    </w:r>
    <w:r>
      <w:fldChar w:fldCharType="end"/>
    </w:r>
    <w:r>
      <w:tab/>
    </w:r>
    <w:sdt>
      <w:sdtPr>
        <w:alias w:val="Title"/>
        <w:tag w:val=""/>
        <w:id w:val="-333386808"/>
        <w:placeholder>
          <w:docPart w:val="750321D48DF342FE93E7F870E36C47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641F1">
          <w:t>Policy 2002:</w:t>
        </w:r>
      </w:sdtContent>
    </w:sdt>
    <w:r w:rsidR="002641F1">
      <w:t xml:space="preserve"> Expenditure Guidelines</w:t>
    </w:r>
    <w:r w:rsidR="00765C1C">
      <w:rPr>
        <w:rFonts w:ascii="Arial" w:hAnsi="Arial" w:cs="Arial"/>
        <w:bCs/>
      </w:rPr>
      <w:t xml:space="preserve">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">
      <w:r>
        <w:t>1</w:t>
      </w:r>
    </w:fldSimple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0606" w14:textId="77777777" w:rsidR="00BB3993" w:rsidRDefault="00BB3993" w:rsidP="00992D62">
      <w:pPr>
        <w:spacing w:after="0" w:line="240" w:lineRule="auto"/>
      </w:pPr>
      <w:r>
        <w:separator/>
      </w:r>
    </w:p>
  </w:footnote>
  <w:footnote w:type="continuationSeparator" w:id="0">
    <w:p w14:paraId="0878D5E8" w14:textId="77777777" w:rsidR="00BB3993" w:rsidRDefault="00BB3993" w:rsidP="0099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D97" w14:textId="38B09E6B" w:rsidR="00992D62" w:rsidRDefault="00765C1C" w:rsidP="00765C1C">
    <w:pPr>
      <w:pStyle w:val="Header"/>
      <w:jc w:val="right"/>
      <w:rPr>
        <w:rFonts w:ascii="Arial" w:hAnsi="Arial" w:cs="Arial"/>
        <w:b/>
      </w:rPr>
    </w:pPr>
    <w:r w:rsidRPr="00765C1C">
      <w:rPr>
        <w:rFonts w:ascii="Arial" w:hAnsi="Arial" w:cs="Arial"/>
      </w:rPr>
      <w:tab/>
    </w:r>
    <w:r w:rsidRPr="00765C1C">
      <w:rPr>
        <w:rFonts w:ascii="Arial" w:hAnsi="Arial" w:cs="Arial"/>
      </w:rPr>
      <w:tab/>
    </w:r>
    <w:r w:rsidRPr="00765C1C">
      <w:rPr>
        <w:rFonts w:ascii="Arial" w:hAnsi="Arial" w:cs="Arial"/>
        <w:b/>
        <w:bCs/>
      </w:rPr>
      <w:t xml:space="preserve">POLICY </w:t>
    </w:r>
    <w:r w:rsidR="002641F1">
      <w:rPr>
        <w:rFonts w:ascii="Arial" w:hAnsi="Arial" w:cs="Arial"/>
        <w:b/>
        <w:bCs/>
      </w:rPr>
      <w:t>2002</w:t>
    </w:r>
    <w:r w:rsidRPr="00765C1C">
      <w:rPr>
        <w:rFonts w:ascii="Arial" w:hAnsi="Arial" w:cs="Arial"/>
        <w:b/>
        <w:bCs/>
      </w:rPr>
      <w:t xml:space="preserve">: </w:t>
    </w:r>
    <w:r w:rsidR="002641F1">
      <w:rPr>
        <w:rFonts w:ascii="Arial" w:hAnsi="Arial" w:cs="Arial"/>
        <w:b/>
        <w:bCs/>
      </w:rPr>
      <w:t>EXPENDITURE GUIDELINES</w:t>
    </w:r>
  </w:p>
  <w:p w14:paraId="5C5B987B" w14:textId="77777777" w:rsidR="00765C1C" w:rsidRPr="00765C1C" w:rsidRDefault="00765C1C" w:rsidP="00765C1C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911"/>
    <w:multiLevelType w:val="hybridMultilevel"/>
    <w:tmpl w:val="EDC060F6"/>
    <w:lvl w:ilvl="0" w:tplc="3D62453E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6C078A"/>
    <w:multiLevelType w:val="hybridMultilevel"/>
    <w:tmpl w:val="42948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D88"/>
    <w:multiLevelType w:val="hybridMultilevel"/>
    <w:tmpl w:val="EDF0D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C83A5C"/>
    <w:multiLevelType w:val="hybridMultilevel"/>
    <w:tmpl w:val="452E8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FFA"/>
    <w:multiLevelType w:val="hybridMultilevel"/>
    <w:tmpl w:val="CD70D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E3D36"/>
    <w:multiLevelType w:val="hybridMultilevel"/>
    <w:tmpl w:val="922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2C69"/>
    <w:multiLevelType w:val="hybridMultilevel"/>
    <w:tmpl w:val="AC98B2C0"/>
    <w:lvl w:ilvl="0" w:tplc="36E8E952">
      <w:start w:val="3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F7741C"/>
    <w:multiLevelType w:val="hybridMultilevel"/>
    <w:tmpl w:val="9416936C"/>
    <w:lvl w:ilvl="0" w:tplc="0E1A60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D5A24"/>
    <w:multiLevelType w:val="hybridMultilevel"/>
    <w:tmpl w:val="021C2E56"/>
    <w:lvl w:ilvl="0" w:tplc="1366A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56103"/>
    <w:multiLevelType w:val="hybridMultilevel"/>
    <w:tmpl w:val="3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F0922"/>
    <w:multiLevelType w:val="hybridMultilevel"/>
    <w:tmpl w:val="F29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680C"/>
    <w:multiLevelType w:val="hybridMultilevel"/>
    <w:tmpl w:val="6B7E5382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B6316"/>
    <w:multiLevelType w:val="multilevel"/>
    <w:tmpl w:val="04EAD0BC"/>
    <w:lvl w:ilvl="0">
      <w:start w:val="1"/>
      <w:numFmt w:val="decimal"/>
      <w:lvlText w:val="%1."/>
      <w:lvlJc w:val="left"/>
      <w:pPr>
        <w:ind w:left="599" w:hanging="360"/>
        <w:jc w:val="right"/>
      </w:pPr>
      <w:rPr>
        <w:rFonts w:ascii="Calibri" w:eastAsia="Calibri" w:hAnsi="Calibri" w:cs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31" w:hanging="433"/>
        <w:jc w:val="right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895" w:hanging="84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32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2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2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2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" w:hanging="845"/>
      </w:pPr>
      <w:rPr>
        <w:rFonts w:hint="default"/>
      </w:rPr>
    </w:lvl>
  </w:abstractNum>
  <w:num w:numId="1" w16cid:durableId="1345010250">
    <w:abstractNumId w:val="6"/>
  </w:num>
  <w:num w:numId="2" w16cid:durableId="1536384672">
    <w:abstractNumId w:val="4"/>
  </w:num>
  <w:num w:numId="3" w16cid:durableId="1705056599">
    <w:abstractNumId w:val="5"/>
  </w:num>
  <w:num w:numId="4" w16cid:durableId="1276251843">
    <w:abstractNumId w:val="9"/>
  </w:num>
  <w:num w:numId="5" w16cid:durableId="2000771401">
    <w:abstractNumId w:val="10"/>
  </w:num>
  <w:num w:numId="6" w16cid:durableId="341787049">
    <w:abstractNumId w:val="2"/>
  </w:num>
  <w:num w:numId="7" w16cid:durableId="1141117229">
    <w:abstractNumId w:val="1"/>
  </w:num>
  <w:num w:numId="8" w16cid:durableId="537742163">
    <w:abstractNumId w:val="11"/>
  </w:num>
  <w:num w:numId="9" w16cid:durableId="1999114355">
    <w:abstractNumId w:val="0"/>
  </w:num>
  <w:num w:numId="10" w16cid:durableId="1794859146">
    <w:abstractNumId w:val="8"/>
  </w:num>
  <w:num w:numId="11" w16cid:durableId="1056205390">
    <w:abstractNumId w:val="3"/>
  </w:num>
  <w:num w:numId="12" w16cid:durableId="2135295441">
    <w:abstractNumId w:val="7"/>
  </w:num>
  <w:num w:numId="13" w16cid:durableId="7439141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2"/>
    <w:rsid w:val="001E7621"/>
    <w:rsid w:val="002641F1"/>
    <w:rsid w:val="002F3703"/>
    <w:rsid w:val="00463599"/>
    <w:rsid w:val="004B1AF2"/>
    <w:rsid w:val="004D72AD"/>
    <w:rsid w:val="005D5B0C"/>
    <w:rsid w:val="006109D4"/>
    <w:rsid w:val="00694134"/>
    <w:rsid w:val="006A24D7"/>
    <w:rsid w:val="00765C1C"/>
    <w:rsid w:val="008D3FC3"/>
    <w:rsid w:val="008F192F"/>
    <w:rsid w:val="009636F1"/>
    <w:rsid w:val="00984049"/>
    <w:rsid w:val="00992D62"/>
    <w:rsid w:val="009C3998"/>
    <w:rsid w:val="00A63CB7"/>
    <w:rsid w:val="00A70F8D"/>
    <w:rsid w:val="00AF074E"/>
    <w:rsid w:val="00B13CCC"/>
    <w:rsid w:val="00B768D2"/>
    <w:rsid w:val="00BB3993"/>
    <w:rsid w:val="00BB668B"/>
    <w:rsid w:val="00C47561"/>
    <w:rsid w:val="00C815DF"/>
    <w:rsid w:val="00CA5976"/>
    <w:rsid w:val="00D148C0"/>
    <w:rsid w:val="00F1093D"/>
    <w:rsid w:val="00F42367"/>
    <w:rsid w:val="00F42A31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42559"/>
  <w15:chartTrackingRefBased/>
  <w15:docId w15:val="{35455C9C-4DA3-4005-9785-FB02DB8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2"/>
  </w:style>
  <w:style w:type="paragraph" w:styleId="Footer">
    <w:name w:val="footer"/>
    <w:basedOn w:val="Normal"/>
    <w:link w:val="Foot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2"/>
  </w:style>
  <w:style w:type="character" w:styleId="PlaceholderText">
    <w:name w:val="Placeholder Text"/>
    <w:basedOn w:val="DefaultParagraphFont"/>
    <w:uiPriority w:val="99"/>
    <w:semiHidden/>
    <w:rsid w:val="00992D62"/>
    <w:rPr>
      <w:color w:val="808080"/>
    </w:rPr>
  </w:style>
  <w:style w:type="paragraph" w:customStyle="1" w:styleId="Default">
    <w:name w:val="Default"/>
    <w:rsid w:val="00F42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63C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A59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976"/>
  </w:style>
  <w:style w:type="character" w:styleId="Hyperlink">
    <w:name w:val="Hyperlink"/>
    <w:basedOn w:val="DefaultParagraphFont"/>
    <w:uiPriority w:val="99"/>
    <w:unhideWhenUsed/>
    <w:rsid w:val="00B13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C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statute/90e0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gov.on.ca/en/common/legislation/bpsa/default.aspx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fis.fma.csc.gov.on.ca/faab/Memos/B2006/B_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page/broader-public-sector-expenses-directiv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321D48DF342FE93E7F870E36C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4AA5-5647-4DAA-A003-27BDE36FF327}"/>
      </w:docPartPr>
      <w:docPartBody>
        <w:p w:rsidR="0087277D" w:rsidRDefault="00592517">
          <w:r w:rsidRPr="00A1397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7"/>
    <w:rsid w:val="00424C84"/>
    <w:rsid w:val="00592517"/>
    <w:rsid w:val="00652BB7"/>
    <w:rsid w:val="00825519"/>
    <w:rsid w:val="0087277D"/>
    <w:rsid w:val="00DF74AC"/>
    <w:rsid w:val="00E27B75"/>
    <w:rsid w:val="00EB48EC"/>
    <w:rsid w:val="00F70B90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2002: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2002:</dc:title>
  <dc:subject/>
  <dc:creator>Michael O'Keefe</dc:creator>
  <cp:keywords/>
  <dc:description/>
  <cp:lastModifiedBy>Michael O'Keefe</cp:lastModifiedBy>
  <cp:revision>9</cp:revision>
  <dcterms:created xsi:type="dcterms:W3CDTF">2023-04-23T14:40:00Z</dcterms:created>
  <dcterms:modified xsi:type="dcterms:W3CDTF">2023-09-20T21:54:00Z</dcterms:modified>
</cp:coreProperties>
</file>